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6C8" w:rsidRPr="007A26C8" w:rsidRDefault="007A26C8" w:rsidP="007A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6C8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7A26C8" w:rsidRPr="007A26C8" w:rsidRDefault="007A26C8" w:rsidP="007A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31" w:rsidRPr="007A26C8" w:rsidRDefault="007A6F31" w:rsidP="007A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6C8">
        <w:rPr>
          <w:rFonts w:ascii="Times New Roman" w:hAnsi="Times New Roman" w:cs="Times New Roman"/>
          <w:sz w:val="24"/>
          <w:szCs w:val="24"/>
        </w:rPr>
        <w:t>С 1 сентября 2025 года устанавливается административная ответственность за пропаганду незаконного оборота, потребления наркотиков</w:t>
      </w:r>
    </w:p>
    <w:p w:rsidR="007A26C8" w:rsidRDefault="007A26C8" w:rsidP="007A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50A" w:rsidRPr="007A26C8" w:rsidRDefault="007A6F31" w:rsidP="007A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26C8">
        <w:rPr>
          <w:rFonts w:ascii="Times New Roman" w:hAnsi="Times New Roman" w:cs="Times New Roman"/>
          <w:sz w:val="24"/>
          <w:szCs w:val="24"/>
        </w:rPr>
        <w:t>В частности, распространение произведений литературы и искусства, содержащих информацию о наркотических средствах, психотропных веществах, об их аналогах или о прекурсорах, растениях, содержащих наркотические средства или психотропные вещества либо их прекурсоры, с нарушением требований о маркировке указанных произведений, предусмотренных статьей 46 Федерального закона "О наркотических средствах и психотропных веществах", повлечет наложение штрафа до шестисот тысяч рублей с конфискацией продукции, явившейся предметом административного правонарушения.</w:t>
      </w:r>
    </w:p>
    <w:sectPr w:rsidR="002A650A" w:rsidRPr="007A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B9"/>
    <w:rsid w:val="002A650A"/>
    <w:rsid w:val="007A26C8"/>
    <w:rsid w:val="007A6F31"/>
    <w:rsid w:val="00C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F0F3"/>
  <w15:chartTrackingRefBased/>
  <w15:docId w15:val="{17B1C778-50EC-4979-8709-31B12B69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2024-12-26T02:19:00Z</dcterms:created>
  <dcterms:modified xsi:type="dcterms:W3CDTF">2024-12-26T06:17:00Z</dcterms:modified>
</cp:coreProperties>
</file>